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5">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B">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D – CULTURE &amp; CONTINUITY AWARDS</w:t>
            </w:r>
          </w:p>
          <w:p w:rsidR="00000000" w:rsidDel="00000000" w:rsidP="00000000" w:rsidRDefault="00000000" w:rsidRPr="00000000" w14:paraId="000000E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Team / Agency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4">
            <w:pPr>
              <w:rPr>
                <w:rFonts w:ascii="Arial" w:cs="Arial" w:eastAsia="Arial" w:hAnsi="Arial"/>
                <w:b w:val="1"/>
                <w:sz w:val="22"/>
                <w:szCs w:val="22"/>
                <w:highlight w:val="lightGray"/>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you think you should win (1-10 points)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09">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0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E – AGENCY / TEAM / RISING AGENCY STAR AWARDS</w:t>
            </w:r>
          </w:p>
          <w:p w:rsidR="00000000" w:rsidDel="00000000" w:rsidP="00000000" w:rsidRDefault="00000000" w:rsidRPr="00000000" w14:paraId="0000010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0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10E">
            <w:pPr>
              <w:widowControl w:val="0"/>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LAZZAWEB</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Revenue in EUR (2021,2022, 2023) 2,39M, 2,91M, 3,42M</w:t>
              <w:br w:type="textWrapping"/>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Net profit in EUR (2021,2022, 2023) 422.869 EUR, 832.214 EUR, 1.122.500 EUR</w:t>
              <w:br w:type="textWrapping"/>
            </w:r>
          </w:p>
          <w:p w:rsidR="00000000" w:rsidDel="00000000" w:rsidP="00000000" w:rsidRDefault="00000000" w:rsidRPr="00000000" w14:paraId="0000011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Staff turnover from 2021 to 2023 - 24 to 37 full time</w:t>
            </w: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Agency / Team / Rising Agency Star objectives (1-10 points)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LAZZAWEB, a Marketing Powerhouse, is </w:t>
            </w:r>
            <w:r w:rsidDel="00000000" w:rsidR="00000000" w:rsidRPr="00000000">
              <w:rPr>
                <w:rFonts w:ascii="Arial" w:cs="Arial" w:eastAsia="Arial" w:hAnsi="Arial"/>
                <w:sz w:val="22"/>
                <w:szCs w:val="22"/>
                <w:rtl w:val="0"/>
              </w:rPr>
              <w:t xml:space="preserve">revolutionizing</w:t>
            </w:r>
            <w:r w:rsidDel="00000000" w:rsidR="00000000" w:rsidRPr="00000000">
              <w:rPr>
                <w:rFonts w:ascii="Arial" w:cs="Arial" w:eastAsia="Arial" w:hAnsi="Arial"/>
                <w:sz w:val="22"/>
                <w:szCs w:val="22"/>
                <w:rtl w:val="0"/>
              </w:rPr>
              <w:t xml:space="preserve"> how businesses excel in integrated marketing campaigns across Google Ads, SEO, Meta Ads, Pinterest Ads as well as Conversion Rate Optimization. Leveraging the foundation of our previously award-winning Marketing PowerPack, we offer an integrated approach that empowers businesses to more effectively reach their target audiences by harnessing the unique strengths of each platform and strengthening them through synergy. This method ensures that our clients not only meet but surpass their marketing goals with increased efficiency and pronounced impact.</w:t>
            </w:r>
          </w:p>
          <w:p w:rsidR="00000000" w:rsidDel="00000000" w:rsidP="00000000" w:rsidRDefault="00000000" w:rsidRPr="00000000" w14:paraId="0000012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LAZZAWEB, performance marketing is our singular focus—we think, talk, and execute performance marketing with relentless precision and passion.</w:t>
            </w:r>
          </w:p>
          <w:p w:rsidR="00000000" w:rsidDel="00000000" w:rsidP="00000000" w:rsidRDefault="00000000" w:rsidRPr="00000000" w14:paraId="0000012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Goals for 2024:</w:t>
            </w:r>
          </w:p>
          <w:p w:rsidR="00000000" w:rsidDel="00000000" w:rsidP="00000000" w:rsidRDefault="00000000" w:rsidRPr="00000000" w14:paraId="0000012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Increase revenue from 3,42 M EUR to 5,13 M EUR (50%) (25.700 EUR above target budget year to date)</w:t>
            </w:r>
          </w:p>
          <w:p w:rsidR="00000000" w:rsidDel="00000000" w:rsidP="00000000" w:rsidRDefault="00000000" w:rsidRPr="00000000" w14:paraId="00000126">
            <w:pPr>
              <w:spacing w:line="360" w:lineRule="auto"/>
              <w:rPr>
                <w:rFonts w:ascii="Arial" w:cs="Arial" w:eastAsia="Arial" w:hAnsi="Arial"/>
                <w:b w:val="1"/>
                <w:color w:val="be1636"/>
                <w:sz w:val="22"/>
                <w:szCs w:val="22"/>
              </w:rPr>
            </w:pPr>
            <w:r w:rsidDel="00000000" w:rsidR="00000000" w:rsidRPr="00000000">
              <w:rPr>
                <w:rFonts w:ascii="Arial" w:cs="Arial" w:eastAsia="Arial" w:hAnsi="Arial"/>
                <w:sz w:val="22"/>
                <w:szCs w:val="22"/>
                <w:rtl w:val="0"/>
              </w:rPr>
              <w:t xml:space="preserve">Increase net profit from 1.122.500 EUR to 1.683.800 EUR (40%) (13.200 EUR above target budget year to date.)</w:t>
              <w:br w:type="textWrapping"/>
              <w:t xml:space="preserve">Fostering work-life balance and social bonds in order to overall improve the wellbeing of employees across the company.</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27">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Recent work example(s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(1-10 points)</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29">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recent campaigns for Zinkbakken and MIOMIO, both finalists for 7 awards at the European Paid Media Awards 2024, LAZZAWEB has demonstrated an unparalleled creativity and effectiveness in marketing advertising, setting new standards for industry excellence.</w:t>
            </w:r>
          </w:p>
          <w:p w:rsidR="00000000" w:rsidDel="00000000" w:rsidP="00000000" w:rsidRDefault="00000000" w:rsidRPr="00000000" w14:paraId="0000012A">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Zinkbakken, a Danish gardening products company, we crafted a highly targeted marketing strategy across Google Ads, SEO, Pinterest and META during their peak gardening season. By employing a sophisticated cross-platform funnel strategy, where we used the synergy between the disciplines to engage gardening enthusiasts 3 months prior to peak season with native platform content and maintained this engagement through strategic retargeting closer to peak gardening season. This approach allowed us to surpass our initial targets, achieving a 50% increase in purchases and a 63% increase in revenue. The use of UGC enriched the campaign's authenticity, transforming customers into brand advocates and significantly enhancing conversion rates.</w:t>
            </w:r>
          </w:p>
          <w:p w:rsidR="00000000" w:rsidDel="00000000" w:rsidP="00000000" w:rsidRDefault="00000000" w:rsidRPr="00000000" w14:paraId="0000012C">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2082800"/>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531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Similarly, for MIOMIO, a home design retailer, we implemented a strategy for integrating Google Ads, SEO and META to synergistically boost brand presence and sales. Our campaign utilized high-quality video content to showcase MIOMIO's products as essential elements of a chic, affordable lifestyle, resonating with the core demographic. This approach highlighted the unique design and value of MIOMIO’s offerings, but also resulted in a 175% revenue increase, a META ROAS going from 4,5 to 10 and POAS increasing from 1,6 to 1,8.</w:t>
            </w:r>
          </w:p>
          <w:p w:rsidR="00000000" w:rsidDel="00000000" w:rsidP="00000000" w:rsidRDefault="00000000" w:rsidRPr="00000000" w14:paraId="0000012E">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073400"/>
                  <wp:effectExtent b="0" l="0" r="0" t="0"/>
                  <wp:docPr id="4"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57531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Besides generating amazing business results, we also did a brand lift culminating in an increase from January 2023 of 12.100 monthly brand searches to 22.200 in January 2024.</w:t>
            </w:r>
          </w:p>
          <w:p w:rsidR="00000000" w:rsidDel="00000000" w:rsidP="00000000" w:rsidRDefault="00000000" w:rsidRPr="00000000" w14:paraId="00000130">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009900"/>
                  <wp:effectExtent b="0" l="0" r="0" t="0"/>
                  <wp:docPr id="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531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widowControl w:val="0"/>
              <w:spacing w:line="360" w:lineRule="auto"/>
              <w:rPr>
                <w:rFonts w:ascii="Arial" w:cs="Arial" w:eastAsia="Arial" w:hAnsi="Arial"/>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recent achievements (1-10 points)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4">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We’ve achieved a remarkable 98% increase in client revenue within the first 12 months of engagement on average across all clients. To date, LAZZAWEB has generated over 400 million EUR in sales for our clients.</w:t>
            </w:r>
          </w:p>
          <w:p w:rsidR="00000000" w:rsidDel="00000000" w:rsidP="00000000" w:rsidRDefault="00000000" w:rsidRPr="00000000" w14:paraId="00000135">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Recognition of our work includes accolades from prestigious industry bodies. We are honored to be a Google Premier Partner, a recognized META Business Partner and Pinterest has officially posted a case with our work with Zinkbakken.</w:t>
            </w:r>
          </w:p>
          <w:p w:rsidR="00000000" w:rsidDel="00000000" w:rsidP="00000000" w:rsidRDefault="00000000" w:rsidRPr="00000000" w14:paraId="00000137">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200400"/>
                  <wp:effectExtent b="0" l="0" r="0" t="0"/>
                  <wp:docPr id="3"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57531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Furthermore, our winning awards at the Global Search Awards 2023 for "Best Global Integrated Search Agency", "BEST USE OF SEARCH – RETAIL / ECOMMERCE (PPC)" and 18 additional finalist positions across the Global Search Awards and European Search Awards, as well as our finalist nominations this year at the European Search Awards, Global Agency Awards and Global Search Awards are testaments to our leadership in the field.</w:t>
              <w:br w:type="textWrapping"/>
              <w:br w:type="textWrapping"/>
              <w:t xml:space="preserve">In March we also installed a DryFloat amongst the first offices in the world. This is a specific meditative equipment, which allows employees to take small meditation breaks throughout the week. After a two month research period, employees experienced a 18 % reduction in stress levels after only 10 minutes, 30 % higher energy levels in the morning, 13 % improved mental wellbeing, improved sleep quality and 50-150 % higher Heart Rate Variability, which strengthens the parasympathetic nerve system.</w:t>
            </w:r>
          </w:p>
          <w:p w:rsidR="00000000" w:rsidDel="00000000" w:rsidP="00000000" w:rsidRDefault="00000000" w:rsidRPr="00000000" w14:paraId="00000139">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4699000"/>
                  <wp:effectExtent b="0" l="0" r="0" t="0"/>
                  <wp:docPr id="8"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5753100" cy="46990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widowControl w:val="0"/>
              <w:spacing w:line="360" w:lineRule="auto"/>
              <w:rPr>
                <w:rFonts w:ascii="Arial" w:cs="Arial" w:eastAsia="Arial" w:hAnsi="Arial"/>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C">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E">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LAZZAWEB, integrating our diverse marketing teams across our Google Ads, SEO, META, Pinterest and CRO departments presented initial challenges due to differing goals and priorities. We established robust communication channels and have been having a large focus on team-building and social events in order to align our teams under a unified vision and create trust between departments, which streamlined our collaborative efforts and has been improving employee well-being.</w:t>
            </w:r>
          </w:p>
          <w:p w:rsidR="00000000" w:rsidDel="00000000" w:rsidP="00000000" w:rsidRDefault="00000000" w:rsidRPr="00000000" w14:paraId="0000013F">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improve efficiency and consistency in our workflows, we are also implementing standardized operational processes across the board. Additionally, resistance to adopting new technologies and processes was met with comprehensive training and clear communication of benefits, easing the transition.</w:t>
            </w:r>
          </w:p>
          <w:p w:rsidR="00000000" w:rsidDel="00000000" w:rsidP="00000000" w:rsidRDefault="00000000" w:rsidRPr="00000000" w14:paraId="00000141">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widowControl w:val="0"/>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These strategic solutions not only addressed the immediate challenges but also strengthened our integrated marketing approach, enhancing overall campaign performance.</w:t>
            </w: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Agency / Team / Rising Agency Star win? (1-10 points)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5">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LAZZAWEB stands out as a leading candidate for the Marketing Agency of the Year, not only because of our innovative Marketing PowerPack, but also through our robust customer retention and global reach. With 94% of our clients remaining with us for years, our ability to maintain long-term partnerships is a testament to our effectiveness and reliability. Additionally, our marketing campaigns impact a diverse client base with a marketing effort across more than 50 countries, showcasing our expertise and adaptability on a global scale.</w:t>
            </w:r>
          </w:p>
          <w:p w:rsidR="00000000" w:rsidDel="00000000" w:rsidP="00000000" w:rsidRDefault="00000000" w:rsidRPr="00000000" w14:paraId="00000146">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widowControl w:val="0"/>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Our approach goes beyond traditional metrics; we prioritize employee well-being and foster a supportive work environment. This includes regular social events, access to our unique DryFloat and an annual trip abroad, all of which contribute to high employee satisfaction and retention. These initiatives not only enhance our team's well-being but also drive our innovative capacity, making LAZZAWEB a pioneer.</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D">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image" Target="media/image3.png"/><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15" Type="http://schemas.openxmlformats.org/officeDocument/2006/relationships/image" Target="media/image2.png"/><Relationship Id="rId14" Type="http://schemas.openxmlformats.org/officeDocument/2006/relationships/image" Target="media/image4.jpg"/><Relationship Id="rId17" Type="http://schemas.openxmlformats.org/officeDocument/2006/relationships/image" Target="media/image6.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EtdJcbwVt7MwarKNOcw7s+j5w==">CgMxLjAyCWlkLmdqZGd4czIKaWQuMzBqMHpsbDIKaWQuMWZvYjl0ZTgAciExTl91a2hlby1hUWNGZkpxMGpEeGZfUlJaT0dyeU9obzk=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